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82" w:type="dxa"/>
        <w:tblLook w:val="01E0" w:firstRow="1" w:lastRow="1" w:firstColumn="1" w:lastColumn="1" w:noHBand="0" w:noVBand="0"/>
      </w:tblPr>
      <w:tblGrid>
        <w:gridCol w:w="2773"/>
        <w:gridCol w:w="8109"/>
      </w:tblGrid>
      <w:tr w:rsidR="005010E1" w:rsidRPr="00271425" w:rsidTr="004A244B">
        <w:tc>
          <w:tcPr>
            <w:tcW w:w="2773" w:type="dxa"/>
            <w:shd w:val="clear" w:color="auto" w:fill="776441"/>
          </w:tcPr>
          <w:p w:rsidR="00467D0D" w:rsidRPr="005330CA" w:rsidRDefault="00467D0D" w:rsidP="00467D0D">
            <w:pPr>
              <w:pStyle w:val="BodyText"/>
              <w:rPr>
                <w:rFonts w:ascii="PermianSlabSerifTypeface" w:hAnsi="PermianSlabSerifTypeface" w:cs="Open Sans"/>
                <w:sz w:val="24"/>
                <w:szCs w:val="24"/>
                <w:u w:val="single"/>
              </w:rPr>
            </w:pPr>
          </w:p>
        </w:tc>
        <w:tc>
          <w:tcPr>
            <w:tcW w:w="8109" w:type="dxa"/>
            <w:tcBorders>
              <w:left w:val="nil"/>
            </w:tcBorders>
            <w:shd w:val="clear" w:color="auto" w:fill="776441"/>
            <w:vAlign w:val="center"/>
          </w:tcPr>
          <w:p w:rsidR="00467D0D" w:rsidRPr="00271425" w:rsidRDefault="00467D0D" w:rsidP="00877E3C">
            <w:pPr>
              <w:pStyle w:val="BodyText"/>
              <w:jc w:val="right"/>
              <w:rPr>
                <w:rFonts w:ascii="PermianSlabSerifTypeface" w:hAnsi="PermianSlabSerifTypeface"/>
                <w:sz w:val="28"/>
                <w:szCs w:val="28"/>
              </w:rPr>
            </w:pPr>
          </w:p>
        </w:tc>
      </w:tr>
      <w:tr w:rsidR="00CB18F8" w:rsidRPr="00CB18F8" w:rsidTr="004A244B">
        <w:trPr>
          <w:trHeight w:val="1440"/>
        </w:trPr>
        <w:tc>
          <w:tcPr>
            <w:tcW w:w="2773" w:type="dxa"/>
            <w:shd w:val="clear" w:color="auto" w:fill="E8D3A2"/>
            <w:vAlign w:val="center"/>
          </w:tcPr>
          <w:p w:rsidR="00467D0D" w:rsidRDefault="005D5CD3" w:rsidP="00241FF5">
            <w:pPr>
              <w:pStyle w:val="NewsletterTitle"/>
            </w:pPr>
            <w:r>
              <w:rPr>
                <w:noProof/>
              </w:rPr>
              <w:drawing>
                <wp:inline distT="0" distB="0" distL="0" distR="0" wp14:anchorId="20251656" wp14:editId="49D6AD38">
                  <wp:extent cx="1624012" cy="88582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g22156\Desktop\Logos\TN-Dept-of-Revenue-ColorPMS.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24012" cy="885824"/>
                          </a:xfrm>
                          <a:prstGeom prst="rect">
                            <a:avLst/>
                          </a:prstGeom>
                          <a:noFill/>
                          <a:ln>
                            <a:noFill/>
                          </a:ln>
                        </pic:spPr>
                      </pic:pic>
                    </a:graphicData>
                  </a:graphic>
                </wp:inline>
              </w:drawing>
            </w:r>
          </w:p>
        </w:tc>
        <w:tc>
          <w:tcPr>
            <w:tcW w:w="8109" w:type="dxa"/>
            <w:tcBorders>
              <w:left w:val="nil"/>
            </w:tcBorders>
            <w:shd w:val="clear" w:color="auto" w:fill="E8D3A2"/>
            <w:vAlign w:val="center"/>
          </w:tcPr>
          <w:p w:rsidR="00467D0D" w:rsidRPr="00CB18F8" w:rsidRDefault="00D205F2" w:rsidP="00367DEB">
            <w:pPr>
              <w:pStyle w:val="NewsletterTitle"/>
              <w:rPr>
                <w:rFonts w:ascii="PermianSlabSerifTypeface" w:hAnsi="PermianSlabSerifTypeface"/>
                <w:color w:val="FFFFFF" w:themeColor="background1"/>
                <w:sz w:val="40"/>
                <w:szCs w:val="40"/>
              </w:rPr>
            </w:pPr>
            <w:r>
              <w:rPr>
                <w:rFonts w:ascii="PermianSlabSerifTypeface" w:hAnsi="PermianSlabSerifTypeface"/>
                <w:color w:val="auto"/>
                <w:sz w:val="40"/>
                <w:szCs w:val="40"/>
              </w:rPr>
              <w:t>Vehicle Title and Registration</w:t>
            </w:r>
          </w:p>
        </w:tc>
      </w:tr>
      <w:tr w:rsidR="00467D0D" w:rsidTr="00895D4C">
        <w:tc>
          <w:tcPr>
            <w:tcW w:w="2773" w:type="dxa"/>
            <w:shd w:val="clear" w:color="auto" w:fill="172934"/>
          </w:tcPr>
          <w:p w:rsidR="00467D0D" w:rsidRPr="00271425" w:rsidRDefault="00D205F2" w:rsidP="00BA2922">
            <w:pPr>
              <w:pStyle w:val="NewsletterDate"/>
              <w:rPr>
                <w:rFonts w:ascii="PermianSlabSerifTypeface" w:hAnsi="PermianSlabSerifTypeface"/>
                <w:b w:val="0"/>
                <w:sz w:val="24"/>
                <w:szCs w:val="24"/>
              </w:rPr>
            </w:pPr>
            <w:r>
              <w:rPr>
                <w:rFonts w:ascii="PermianSlabSerifTypeface" w:hAnsi="PermianSlabSerifTypeface"/>
                <w:b w:val="0"/>
                <w:sz w:val="24"/>
                <w:szCs w:val="24"/>
              </w:rPr>
              <w:t>Position Statement</w:t>
            </w:r>
          </w:p>
        </w:tc>
        <w:tc>
          <w:tcPr>
            <w:tcW w:w="8109" w:type="dxa"/>
            <w:tcBorders>
              <w:left w:val="nil"/>
            </w:tcBorders>
            <w:shd w:val="clear" w:color="auto" w:fill="172934"/>
          </w:tcPr>
          <w:p w:rsidR="00467D0D" w:rsidRPr="00271425" w:rsidRDefault="00D205F2" w:rsidP="00BA2922">
            <w:pPr>
              <w:pStyle w:val="VolumeandIssue"/>
              <w:rPr>
                <w:rFonts w:ascii="PermianSlabSerifTypeface" w:hAnsi="PermianSlabSerifTypeface"/>
                <w:b w:val="0"/>
                <w:sz w:val="24"/>
                <w:szCs w:val="24"/>
              </w:rPr>
            </w:pPr>
            <w:r>
              <w:rPr>
                <w:rFonts w:ascii="PermianSlabSerifTypeface" w:hAnsi="PermianSlabSerifTypeface"/>
                <w:color w:val="FFFFFF" w:themeColor="background1"/>
                <w:sz w:val="24"/>
                <w:szCs w:val="24"/>
              </w:rPr>
              <w:t>March 2017</w:t>
            </w:r>
          </w:p>
        </w:tc>
      </w:tr>
      <w:tr w:rsidR="004A244B" w:rsidTr="00895D4C">
        <w:tc>
          <w:tcPr>
            <w:tcW w:w="10882" w:type="dxa"/>
            <w:gridSpan w:val="2"/>
            <w:shd w:val="clear" w:color="auto" w:fill="FFFFFF" w:themeFill="background1"/>
          </w:tcPr>
          <w:p w:rsidR="004A244B" w:rsidRPr="00CA34BC" w:rsidRDefault="00D205F2" w:rsidP="00DF60A3">
            <w:pPr>
              <w:pStyle w:val="Links"/>
              <w:rPr>
                <w:rFonts w:ascii="PermianSlabSerifTypeface" w:hAnsi="PermianSlabSerifTypeface"/>
                <w:color w:val="auto"/>
                <w:sz w:val="40"/>
                <w:szCs w:val="40"/>
              </w:rPr>
            </w:pPr>
            <w:r>
              <w:rPr>
                <w:rFonts w:ascii="PermianSlabSerifTypeface" w:hAnsi="PermianSlabSerifTypeface"/>
                <w:color w:val="auto"/>
                <w:sz w:val="40"/>
                <w:szCs w:val="40"/>
              </w:rPr>
              <w:t>Tiny Homes</w:t>
            </w:r>
          </w:p>
        </w:tc>
      </w:tr>
    </w:tbl>
    <w:p w:rsidR="004A244B" w:rsidRDefault="004A244B" w:rsidP="004A244B">
      <w:pPr>
        <w:pStyle w:val="BodyText"/>
        <w:rPr>
          <w:rFonts w:ascii="Open Sans" w:hAnsi="Open Sans" w:cs="Open Sans"/>
          <w:b/>
        </w:rPr>
      </w:pPr>
    </w:p>
    <w:p w:rsidR="004A244B" w:rsidRDefault="004A244B" w:rsidP="004A244B">
      <w:pPr>
        <w:pStyle w:val="BodyText"/>
        <w:rPr>
          <w:rFonts w:ascii="Open Sans" w:hAnsi="Open Sans" w:cs="Open Sans"/>
          <w:b/>
        </w:rPr>
        <w:sectPr w:rsidR="004A244B" w:rsidSect="00271425">
          <w:footerReference w:type="default" r:id="rId8"/>
          <w:pgSz w:w="12240" w:h="15840"/>
          <w:pgMar w:top="864" w:right="864" w:bottom="864" w:left="864" w:header="720" w:footer="720" w:gutter="0"/>
          <w:cols w:space="720"/>
          <w:docGrid w:linePitch="360"/>
        </w:sectPr>
      </w:pPr>
    </w:p>
    <w:p w:rsidR="00895D4C" w:rsidRPr="00D205F2" w:rsidRDefault="00D205F2" w:rsidP="005859DF">
      <w:pPr>
        <w:pStyle w:val="BodyText"/>
        <w:rPr>
          <w:rFonts w:ascii="Open Sans" w:hAnsi="Open Sans" w:cs="Open Sans"/>
          <w:b/>
        </w:rPr>
      </w:pPr>
      <w:r>
        <w:rPr>
          <w:rFonts w:ascii="Open Sans" w:hAnsi="Open Sans" w:cs="Open Sans"/>
          <w:b/>
        </w:rPr>
        <w:t xml:space="preserve">Tiny Homes Should be Registered as </w:t>
      </w:r>
      <w:r>
        <w:rPr>
          <w:rFonts w:ascii="Open Sans" w:eastAsia="MS PGothic" w:hAnsi="Open Sans" w:cs="Open Sans"/>
          <w:b/>
          <w:lang w:eastAsia="ja-JP"/>
        </w:rPr>
        <w:t>Class (D)(ii) Mobile H</w:t>
      </w:r>
      <w:r w:rsidRPr="00D205F2">
        <w:rPr>
          <w:rFonts w:ascii="Open Sans" w:eastAsia="MS PGothic" w:hAnsi="Open Sans" w:cs="Open Sans"/>
          <w:b/>
          <w:lang w:eastAsia="ja-JP"/>
        </w:rPr>
        <w:t>omes</w:t>
      </w:r>
    </w:p>
    <w:p w:rsidR="00D205F2" w:rsidRPr="00D205F2" w:rsidRDefault="00D205F2" w:rsidP="00D205F2">
      <w:pPr>
        <w:rPr>
          <w:rFonts w:ascii="Open Sans" w:eastAsia="MS PGothic" w:hAnsi="Open Sans" w:cs="Open Sans"/>
          <w:sz w:val="20"/>
          <w:szCs w:val="20"/>
          <w:lang w:eastAsia="ja-JP"/>
        </w:rPr>
      </w:pPr>
      <w:r w:rsidRPr="00D205F2">
        <w:rPr>
          <w:rFonts w:ascii="Open Sans" w:eastAsia="MS PGothic" w:hAnsi="Open Sans" w:cs="Open Sans"/>
          <w:sz w:val="20"/>
          <w:szCs w:val="20"/>
          <w:lang w:eastAsia="ja-JP"/>
        </w:rPr>
        <w:t>Tiny homes should be registered as Class (D)(ii) mobile homes for purposes of Tennessee’s title and registration laws.</w:t>
      </w:r>
    </w:p>
    <w:p w:rsidR="00D205F2" w:rsidRPr="00D205F2" w:rsidRDefault="00D205F2" w:rsidP="00855485">
      <w:pPr>
        <w:rPr>
          <w:rFonts w:ascii="Open Sans" w:eastAsia="MS PGothic" w:hAnsi="Open Sans" w:cs="Open Sans"/>
          <w:sz w:val="20"/>
          <w:szCs w:val="20"/>
          <w:lang w:eastAsia="ja-JP"/>
        </w:rPr>
      </w:pPr>
    </w:p>
    <w:p w:rsidR="00D205F2" w:rsidRDefault="00D205F2" w:rsidP="00D205F2">
      <w:pPr>
        <w:rPr>
          <w:rFonts w:ascii="Open Sans" w:eastAsia="MS PGothic" w:hAnsi="Open Sans" w:cs="Open Sans"/>
          <w:sz w:val="20"/>
          <w:szCs w:val="20"/>
          <w:lang w:eastAsia="ja-JP"/>
        </w:rPr>
      </w:pPr>
      <w:r w:rsidRPr="00D205F2">
        <w:rPr>
          <w:rFonts w:ascii="Open Sans" w:eastAsia="MS PGothic" w:hAnsi="Open Sans" w:cs="Open Sans"/>
          <w:sz w:val="20"/>
          <w:szCs w:val="20"/>
          <w:lang w:eastAsia="ja-JP"/>
        </w:rPr>
        <w:t xml:space="preserve">Tiny homes constitute vehicles and therefore should be titled and registered if operated on Tennessee highways. </w:t>
      </w:r>
    </w:p>
    <w:p w:rsidR="00855485" w:rsidRPr="00D205F2" w:rsidRDefault="00855485" w:rsidP="00D205F2">
      <w:pPr>
        <w:rPr>
          <w:rFonts w:ascii="Open Sans" w:eastAsia="MS PGothic" w:hAnsi="Open Sans" w:cs="Open Sans"/>
          <w:sz w:val="20"/>
          <w:szCs w:val="20"/>
          <w:lang w:eastAsia="ja-JP"/>
        </w:rPr>
      </w:pPr>
    </w:p>
    <w:p w:rsidR="00D205F2" w:rsidRPr="00D205F2" w:rsidRDefault="00855485" w:rsidP="00D205F2">
      <w:pPr>
        <w:rPr>
          <w:rFonts w:ascii="Open Sans" w:eastAsia="MS PGothic" w:hAnsi="Open Sans" w:cs="Open Sans"/>
          <w:sz w:val="20"/>
          <w:szCs w:val="20"/>
          <w:lang w:eastAsia="ja-JP"/>
        </w:rPr>
      </w:pPr>
      <w:r>
        <w:rPr>
          <w:rFonts w:ascii="Open Sans" w:eastAsia="MS PGothic" w:hAnsi="Open Sans" w:cs="Open Sans"/>
          <w:sz w:val="20"/>
          <w:szCs w:val="20"/>
          <w:lang w:eastAsia="ja-JP"/>
        </w:rPr>
        <w:t>The</w:t>
      </w:r>
      <w:r w:rsidR="00D205F2" w:rsidRPr="00D205F2">
        <w:rPr>
          <w:rFonts w:ascii="Open Sans" w:eastAsia="MS PGothic" w:hAnsi="Open Sans" w:cs="Open Sans"/>
          <w:sz w:val="20"/>
          <w:szCs w:val="20"/>
          <w:lang w:eastAsia="ja-JP"/>
        </w:rPr>
        <w:t xml:space="preserve"> two relevant classes for tiny homes</w:t>
      </w:r>
      <w:r>
        <w:rPr>
          <w:rFonts w:ascii="Open Sans" w:eastAsia="MS PGothic" w:hAnsi="Open Sans" w:cs="Open Sans"/>
          <w:sz w:val="20"/>
          <w:szCs w:val="20"/>
          <w:lang w:eastAsia="ja-JP"/>
        </w:rPr>
        <w:t xml:space="preserve"> are</w:t>
      </w:r>
      <w:r w:rsidR="00D205F2" w:rsidRPr="00D205F2">
        <w:rPr>
          <w:rFonts w:ascii="Open Sans" w:eastAsia="MS PGothic" w:hAnsi="Open Sans" w:cs="Open Sans"/>
          <w:sz w:val="20"/>
          <w:szCs w:val="20"/>
          <w:lang w:eastAsia="ja-JP"/>
        </w:rPr>
        <w:t>:</w:t>
      </w:r>
    </w:p>
    <w:p w:rsidR="00D205F2" w:rsidRPr="00D205F2" w:rsidRDefault="00D205F2" w:rsidP="00D205F2">
      <w:pPr>
        <w:ind w:left="1440"/>
        <w:rPr>
          <w:rFonts w:ascii="Open Sans" w:eastAsia="MS PGothic" w:hAnsi="Open Sans" w:cs="Open Sans"/>
          <w:sz w:val="20"/>
          <w:szCs w:val="20"/>
          <w:lang w:eastAsia="ja-JP"/>
        </w:rPr>
      </w:pPr>
      <w:r w:rsidRPr="00D205F2">
        <w:rPr>
          <w:rFonts w:ascii="Open Sans" w:eastAsia="MS PGothic" w:hAnsi="Open Sans" w:cs="Open Sans"/>
          <w:sz w:val="20"/>
          <w:szCs w:val="20"/>
          <w:lang w:eastAsia="ja-JP"/>
        </w:rPr>
        <w:t xml:space="preserve">                                                                 </w:t>
      </w:r>
    </w:p>
    <w:p w:rsidR="00D205F2" w:rsidRPr="005D33DA" w:rsidRDefault="00D205F2" w:rsidP="005D33DA">
      <w:pPr>
        <w:pStyle w:val="ListParagraph"/>
        <w:numPr>
          <w:ilvl w:val="0"/>
          <w:numId w:val="18"/>
        </w:numPr>
        <w:rPr>
          <w:rFonts w:ascii="Open Sans" w:eastAsia="MS PGothic" w:hAnsi="Open Sans" w:cs="Open Sans"/>
          <w:sz w:val="20"/>
          <w:szCs w:val="20"/>
          <w:lang w:eastAsia="ja-JP"/>
        </w:rPr>
      </w:pPr>
      <w:r w:rsidRPr="005D33DA">
        <w:rPr>
          <w:rFonts w:ascii="Open Sans" w:eastAsia="MS PGothic" w:hAnsi="Open Sans" w:cs="Open Sans"/>
          <w:sz w:val="20"/>
          <w:szCs w:val="20"/>
          <w:lang w:eastAsia="ja-JP"/>
        </w:rPr>
        <w:t>Class (D)(</w:t>
      </w:r>
      <w:proofErr w:type="spellStart"/>
      <w:r w:rsidRPr="005D33DA">
        <w:rPr>
          <w:rFonts w:ascii="Open Sans" w:eastAsia="MS PGothic" w:hAnsi="Open Sans" w:cs="Open Sans"/>
          <w:sz w:val="20"/>
          <w:szCs w:val="20"/>
          <w:lang w:eastAsia="ja-JP"/>
        </w:rPr>
        <w:t>i</w:t>
      </w:r>
      <w:proofErr w:type="spellEnd"/>
      <w:r w:rsidRPr="005D33DA">
        <w:rPr>
          <w:rFonts w:ascii="Open Sans" w:eastAsia="MS PGothic" w:hAnsi="Open Sans" w:cs="Open Sans"/>
          <w:sz w:val="20"/>
          <w:szCs w:val="20"/>
          <w:lang w:eastAsia="ja-JP"/>
        </w:rPr>
        <w:t>): Trailers which are limited to vacationing and camping purposes. ($9.50)</w:t>
      </w:r>
    </w:p>
    <w:p w:rsidR="00D205F2" w:rsidRPr="005D33DA" w:rsidRDefault="00D205F2" w:rsidP="005D33DA">
      <w:pPr>
        <w:pStyle w:val="ListParagraph"/>
        <w:numPr>
          <w:ilvl w:val="0"/>
          <w:numId w:val="18"/>
        </w:numPr>
        <w:rPr>
          <w:rFonts w:ascii="Open Sans" w:eastAsia="MS PGothic" w:hAnsi="Open Sans" w:cs="Open Sans"/>
          <w:sz w:val="20"/>
          <w:szCs w:val="20"/>
          <w:lang w:eastAsia="ja-JP"/>
        </w:rPr>
      </w:pPr>
      <w:r w:rsidRPr="005D33DA">
        <w:rPr>
          <w:rFonts w:ascii="Open Sans" w:eastAsia="MS PGothic" w:hAnsi="Open Sans" w:cs="Open Sans"/>
          <w:sz w:val="20"/>
          <w:szCs w:val="20"/>
          <w:lang w:eastAsia="ja-JP"/>
        </w:rPr>
        <w:t>Class (D)(ii): Mobile homes or house trailers, . . . with dimensions not exceeding eight feet (8′) in width. ($19.00)</w:t>
      </w:r>
    </w:p>
    <w:p w:rsidR="00D205F2" w:rsidRPr="00D205F2" w:rsidRDefault="00D205F2" w:rsidP="00D205F2">
      <w:pPr>
        <w:rPr>
          <w:rFonts w:ascii="Open Sans" w:eastAsia="MS PGothic" w:hAnsi="Open Sans" w:cs="Open Sans"/>
          <w:sz w:val="20"/>
          <w:szCs w:val="20"/>
          <w:lang w:eastAsia="ja-JP"/>
        </w:rPr>
      </w:pPr>
      <w:r w:rsidRPr="00D205F2">
        <w:rPr>
          <w:rFonts w:ascii="Open Sans" w:eastAsia="MS PGothic" w:hAnsi="Open Sans" w:cs="Open Sans"/>
          <w:sz w:val="20"/>
          <w:szCs w:val="20"/>
          <w:lang w:eastAsia="ja-JP"/>
        </w:rPr>
        <w:t>The difference depends on whether a tiny home is considered a trailer limited to vacationing and camping purposes—similar to a camper—or considered a “mobile home.” The t</w:t>
      </w:r>
      <w:r w:rsidR="00855485">
        <w:rPr>
          <w:rFonts w:ascii="Open Sans" w:eastAsia="MS PGothic" w:hAnsi="Open Sans" w:cs="Open Sans"/>
          <w:sz w:val="20"/>
          <w:szCs w:val="20"/>
          <w:lang w:eastAsia="ja-JP"/>
        </w:rPr>
        <w:t xml:space="preserve">erm “mobile home” is defined </w:t>
      </w:r>
      <w:r w:rsidRPr="00D205F2">
        <w:rPr>
          <w:rFonts w:ascii="Open Sans" w:eastAsia="MS PGothic" w:hAnsi="Open Sans" w:cs="Open Sans"/>
          <w:sz w:val="20"/>
          <w:szCs w:val="20"/>
          <w:lang w:eastAsia="ja-JP"/>
        </w:rPr>
        <w:t>as “a trailer or semitrailer which is designed, constructed and equipped as a dwelling place, living abode or sleeping place, either permanently or temporarily, and is equipped for use as a conveyance on streets and highways.” Class (D)(</w:t>
      </w:r>
      <w:proofErr w:type="spellStart"/>
      <w:r w:rsidRPr="00D205F2">
        <w:rPr>
          <w:rFonts w:ascii="Open Sans" w:eastAsia="MS PGothic" w:hAnsi="Open Sans" w:cs="Open Sans"/>
          <w:sz w:val="20"/>
          <w:szCs w:val="20"/>
          <w:lang w:eastAsia="ja-JP"/>
        </w:rPr>
        <w:t>i</w:t>
      </w:r>
      <w:proofErr w:type="spellEnd"/>
      <w:r w:rsidRPr="00D205F2">
        <w:rPr>
          <w:rFonts w:ascii="Open Sans" w:eastAsia="MS PGothic" w:hAnsi="Open Sans" w:cs="Open Sans"/>
          <w:sz w:val="20"/>
          <w:szCs w:val="20"/>
          <w:lang w:eastAsia="ja-JP"/>
        </w:rPr>
        <w:t>) plates are limited to vehicles such as pop-up campers and camper trailer</w:t>
      </w:r>
      <w:r>
        <w:rPr>
          <w:rFonts w:ascii="Open Sans" w:eastAsia="MS PGothic" w:hAnsi="Open Sans" w:cs="Open Sans"/>
          <w:sz w:val="20"/>
          <w:szCs w:val="20"/>
          <w:lang w:eastAsia="ja-JP"/>
        </w:rPr>
        <w:t>s, whereas the intended use of tiny h</w:t>
      </w:r>
      <w:r w:rsidRPr="00D205F2">
        <w:rPr>
          <w:rFonts w:ascii="Open Sans" w:eastAsia="MS PGothic" w:hAnsi="Open Sans" w:cs="Open Sans"/>
          <w:sz w:val="20"/>
          <w:szCs w:val="20"/>
          <w:lang w:eastAsia="ja-JP"/>
        </w:rPr>
        <w:t xml:space="preserve">omes appear to be more permanent, heavier, and often being affixed to real property. </w:t>
      </w:r>
    </w:p>
    <w:p w:rsidR="00D205F2" w:rsidRPr="00D205F2" w:rsidRDefault="00D205F2" w:rsidP="00D205F2">
      <w:pPr>
        <w:rPr>
          <w:rFonts w:ascii="Open Sans" w:eastAsia="MS PGothic" w:hAnsi="Open Sans" w:cs="Open Sans"/>
          <w:sz w:val="20"/>
          <w:szCs w:val="20"/>
          <w:lang w:eastAsia="ja-JP"/>
        </w:rPr>
      </w:pPr>
      <w:r>
        <w:rPr>
          <w:rFonts w:ascii="Open Sans" w:eastAsia="MS PGothic" w:hAnsi="Open Sans" w:cs="Open Sans"/>
          <w:sz w:val="20"/>
          <w:szCs w:val="20"/>
          <w:lang w:eastAsia="ja-JP"/>
        </w:rPr>
        <w:t>Accordingly, tiny h</w:t>
      </w:r>
      <w:r w:rsidRPr="00D205F2">
        <w:rPr>
          <w:rFonts w:ascii="Open Sans" w:eastAsia="MS PGothic" w:hAnsi="Open Sans" w:cs="Open Sans"/>
          <w:sz w:val="20"/>
          <w:szCs w:val="20"/>
          <w:lang w:eastAsia="ja-JP"/>
        </w:rPr>
        <w:t xml:space="preserve">omes more closely resemble mobile homes than vacationing and camping </w:t>
      </w:r>
      <w:proofErr w:type="gramStart"/>
      <w:r w:rsidRPr="00D205F2">
        <w:rPr>
          <w:rFonts w:ascii="Open Sans" w:eastAsia="MS PGothic" w:hAnsi="Open Sans" w:cs="Open Sans"/>
          <w:sz w:val="20"/>
          <w:szCs w:val="20"/>
          <w:lang w:eastAsia="ja-JP"/>
        </w:rPr>
        <w:t>trailers, and</w:t>
      </w:r>
      <w:proofErr w:type="gramEnd"/>
      <w:r w:rsidRPr="00D205F2">
        <w:rPr>
          <w:rFonts w:ascii="Open Sans" w:eastAsia="MS PGothic" w:hAnsi="Open Sans" w:cs="Open Sans"/>
          <w:sz w:val="20"/>
          <w:szCs w:val="20"/>
          <w:lang w:eastAsia="ja-JP"/>
        </w:rPr>
        <w:t xml:space="preserve"> should be</w:t>
      </w:r>
      <w:r w:rsidR="00855485">
        <w:rPr>
          <w:rFonts w:ascii="Open Sans" w:eastAsia="MS PGothic" w:hAnsi="Open Sans" w:cs="Open Sans"/>
          <w:sz w:val="20"/>
          <w:szCs w:val="20"/>
          <w:lang w:eastAsia="ja-JP"/>
        </w:rPr>
        <w:t xml:space="preserve"> registered under Class (D)(ii).</w:t>
      </w:r>
    </w:p>
    <w:p w:rsidR="00D205F2" w:rsidRDefault="00D205F2" w:rsidP="00D205F2">
      <w:pPr>
        <w:rPr>
          <w:rFonts w:ascii="Open Sans" w:eastAsia="MS PGothic" w:hAnsi="Open Sans" w:cs="Open Sans"/>
          <w:sz w:val="20"/>
          <w:szCs w:val="20"/>
          <w:lang w:eastAsia="ja-JP"/>
        </w:rPr>
      </w:pPr>
    </w:p>
    <w:p w:rsidR="00855485" w:rsidRPr="00D205F2" w:rsidRDefault="00855485" w:rsidP="00D205F2">
      <w:pPr>
        <w:rPr>
          <w:rFonts w:ascii="Open Sans" w:eastAsia="MS PGothic" w:hAnsi="Open Sans" w:cs="Open Sans"/>
          <w:sz w:val="20"/>
          <w:szCs w:val="20"/>
          <w:lang w:eastAsia="ja-JP"/>
        </w:rPr>
      </w:pPr>
    </w:p>
    <w:p w:rsidR="00D205F2" w:rsidRPr="00D205F2" w:rsidRDefault="00D205F2" w:rsidP="00D205F2">
      <w:pPr>
        <w:rPr>
          <w:rFonts w:ascii="Open Sans" w:eastAsia="MS PGothic" w:hAnsi="Open Sans" w:cs="Open Sans"/>
          <w:b/>
          <w:bCs/>
          <w:sz w:val="20"/>
          <w:szCs w:val="20"/>
          <w:lang w:eastAsia="ja-JP"/>
        </w:rPr>
      </w:pPr>
      <w:r w:rsidRPr="00D205F2">
        <w:rPr>
          <w:rFonts w:ascii="Open Sans" w:eastAsia="MS PGothic" w:hAnsi="Open Sans" w:cs="Open Sans"/>
          <w:b/>
          <w:bCs/>
          <w:sz w:val="20"/>
          <w:szCs w:val="20"/>
          <w:lang w:eastAsia="ja-JP"/>
        </w:rPr>
        <w:t>Sales and Use Tax</w:t>
      </w:r>
      <w:r w:rsidR="000D7865">
        <w:rPr>
          <w:rFonts w:ascii="Open Sans" w:eastAsia="MS PGothic" w:hAnsi="Open Sans" w:cs="Open Sans"/>
          <w:b/>
          <w:bCs/>
          <w:sz w:val="20"/>
          <w:szCs w:val="20"/>
          <w:lang w:eastAsia="ja-JP"/>
        </w:rPr>
        <w:t xml:space="preserve"> Applies on Sales</w:t>
      </w:r>
      <w:r w:rsidR="005E3950">
        <w:rPr>
          <w:rFonts w:ascii="Open Sans" w:eastAsia="MS PGothic" w:hAnsi="Open Sans" w:cs="Open Sans"/>
          <w:b/>
          <w:bCs/>
          <w:sz w:val="20"/>
          <w:szCs w:val="20"/>
          <w:lang w:eastAsia="ja-JP"/>
        </w:rPr>
        <w:t xml:space="preserve"> Price</w:t>
      </w:r>
    </w:p>
    <w:p w:rsidR="00D205F2" w:rsidRPr="00D205F2" w:rsidRDefault="00D205F2" w:rsidP="00D205F2">
      <w:pPr>
        <w:rPr>
          <w:rFonts w:ascii="Open Sans" w:eastAsia="MS PGothic" w:hAnsi="Open Sans" w:cs="Open Sans"/>
          <w:sz w:val="20"/>
          <w:szCs w:val="20"/>
          <w:lang w:eastAsia="ja-JP"/>
        </w:rPr>
      </w:pPr>
    </w:p>
    <w:p w:rsidR="00D205F2" w:rsidRPr="00D205F2" w:rsidRDefault="00D205F2" w:rsidP="00D205F2">
      <w:pPr>
        <w:rPr>
          <w:rFonts w:ascii="Open Sans" w:eastAsia="MS PGothic" w:hAnsi="Open Sans" w:cs="Open Sans"/>
          <w:sz w:val="20"/>
          <w:szCs w:val="20"/>
          <w:lang w:eastAsia="ja-JP"/>
        </w:rPr>
      </w:pPr>
      <w:r w:rsidRPr="00D205F2">
        <w:rPr>
          <w:rFonts w:ascii="Open Sans" w:eastAsia="MS PGothic" w:hAnsi="Open Sans" w:cs="Open Sans"/>
          <w:sz w:val="20"/>
          <w:szCs w:val="20"/>
          <w:lang w:eastAsia="ja-JP"/>
        </w:rPr>
        <w:t xml:space="preserve">Tiny homes constitute tangible personal property, and therefore the sales and use tax applies on the sales price of the tiny homes when sold at retail in Tennessee, unless an exemption applies. </w:t>
      </w:r>
    </w:p>
    <w:p w:rsidR="00D205F2" w:rsidRPr="00D205F2" w:rsidRDefault="00D205F2" w:rsidP="00D205F2">
      <w:pPr>
        <w:rPr>
          <w:rFonts w:ascii="Open Sans" w:eastAsia="MS PGothic" w:hAnsi="Open Sans" w:cs="Open Sans"/>
          <w:sz w:val="20"/>
          <w:szCs w:val="20"/>
          <w:lang w:eastAsia="ja-JP"/>
        </w:rPr>
      </w:pPr>
    </w:p>
    <w:p w:rsidR="00D205F2" w:rsidRPr="00D205F2" w:rsidRDefault="00D205F2" w:rsidP="00D205F2">
      <w:pPr>
        <w:rPr>
          <w:rFonts w:ascii="Open Sans" w:eastAsia="MS PGothic" w:hAnsi="Open Sans" w:cs="Open Sans"/>
          <w:sz w:val="20"/>
          <w:szCs w:val="20"/>
          <w:lang w:eastAsia="ja-JP"/>
        </w:rPr>
      </w:pPr>
      <w:r w:rsidRPr="00D205F2">
        <w:rPr>
          <w:rFonts w:ascii="Open Sans" w:eastAsia="MS PGothic" w:hAnsi="Open Sans" w:cs="Open Sans"/>
          <w:sz w:val="20"/>
          <w:szCs w:val="20"/>
          <w:lang w:eastAsia="ja-JP"/>
        </w:rPr>
        <w:t xml:space="preserve">One such exemption reduces the state sales tax rate to 3.5% (from 7%) on the retail sale of any “manufactured home.” For these purposes, the term “manufactured home” means “a structure, transportable in one (1) or more sections, which, in the traveling mode, is eight (8) body feet or more in width, or forty (40) body feet or more in length, or, when erected on site, is three hundred twenty (320)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 </w:t>
      </w:r>
    </w:p>
    <w:p w:rsidR="00D205F2" w:rsidRPr="00D205F2" w:rsidRDefault="00D205F2" w:rsidP="00D205F2">
      <w:pPr>
        <w:rPr>
          <w:rFonts w:ascii="Open Sans" w:eastAsia="MS PGothic" w:hAnsi="Open Sans" w:cs="Open Sans"/>
          <w:sz w:val="20"/>
          <w:szCs w:val="20"/>
          <w:lang w:eastAsia="ja-JP"/>
        </w:rPr>
      </w:pPr>
    </w:p>
    <w:p w:rsidR="00D205F2" w:rsidRPr="00D205F2" w:rsidRDefault="00855485" w:rsidP="00D205F2">
      <w:pPr>
        <w:rPr>
          <w:rFonts w:ascii="Open Sans" w:eastAsia="MS PGothic" w:hAnsi="Open Sans" w:cs="Open Sans"/>
          <w:sz w:val="20"/>
          <w:szCs w:val="20"/>
          <w:lang w:eastAsia="ja-JP"/>
        </w:rPr>
      </w:pPr>
      <w:bookmarkStart w:id="0" w:name="_GoBack"/>
      <w:r>
        <w:rPr>
          <w:rFonts w:ascii="Open Sans" w:eastAsia="MS PGothic" w:hAnsi="Open Sans" w:cs="Open Sans"/>
          <w:sz w:val="20"/>
          <w:szCs w:val="20"/>
          <w:lang w:eastAsia="ja-JP"/>
        </w:rPr>
        <w:t>Most tiny homes</w:t>
      </w:r>
      <w:r w:rsidR="00D205F2" w:rsidRPr="00D205F2">
        <w:rPr>
          <w:rFonts w:ascii="Open Sans" w:eastAsia="MS PGothic" w:hAnsi="Open Sans" w:cs="Open Sans"/>
          <w:sz w:val="20"/>
          <w:szCs w:val="20"/>
          <w:lang w:eastAsia="ja-JP"/>
        </w:rPr>
        <w:t xml:space="preserve"> meet the definition of </w:t>
      </w:r>
      <w:r>
        <w:rPr>
          <w:rFonts w:ascii="Open Sans" w:eastAsia="MS PGothic" w:hAnsi="Open Sans" w:cs="Open Sans"/>
          <w:sz w:val="20"/>
          <w:szCs w:val="20"/>
          <w:lang w:eastAsia="ja-JP"/>
        </w:rPr>
        <w:t xml:space="preserve">a </w:t>
      </w:r>
      <w:r w:rsidR="00D205F2" w:rsidRPr="00D205F2">
        <w:rPr>
          <w:rFonts w:ascii="Open Sans" w:eastAsia="MS PGothic" w:hAnsi="Open Sans" w:cs="Open Sans"/>
          <w:sz w:val="20"/>
          <w:szCs w:val="20"/>
          <w:lang w:eastAsia="ja-JP"/>
        </w:rPr>
        <w:t>manufactured home, as they tend to be larger than 320 square feet, built on a permanent chassis, built to be used as a dwelling place, and contain plumbing, heating, A/C, and electrical systems.</w:t>
      </w:r>
      <w:r>
        <w:rPr>
          <w:rFonts w:ascii="Open Sans" w:eastAsia="MS PGothic" w:hAnsi="Open Sans" w:cs="Open Sans"/>
          <w:sz w:val="20"/>
          <w:szCs w:val="20"/>
          <w:lang w:eastAsia="ja-JP"/>
        </w:rPr>
        <w:t xml:space="preserve"> </w:t>
      </w:r>
      <w:r w:rsidR="00D205F2" w:rsidRPr="00D205F2">
        <w:rPr>
          <w:rFonts w:ascii="Open Sans" w:eastAsia="MS PGothic" w:hAnsi="Open Sans" w:cs="Open Sans"/>
          <w:sz w:val="20"/>
          <w:szCs w:val="20"/>
          <w:lang w:eastAsia="ja-JP"/>
        </w:rPr>
        <w:t>Therefore, the Tennessee sales tax generally applies on retail sales, but at the reduced 3.5% state tax rate.</w:t>
      </w:r>
    </w:p>
    <w:bookmarkEnd w:id="0"/>
    <w:p w:rsidR="004A244B" w:rsidRPr="00D205F2" w:rsidRDefault="004A244B" w:rsidP="004A244B">
      <w:pPr>
        <w:pStyle w:val="BodyText"/>
        <w:rPr>
          <w:rFonts w:ascii="Open Sans" w:hAnsi="Open Sans" w:cs="Open Sans"/>
        </w:rPr>
      </w:pPr>
    </w:p>
    <w:p w:rsidR="00895D4C" w:rsidRPr="00D205F2" w:rsidRDefault="004A244B" w:rsidP="004A244B">
      <w:pPr>
        <w:pStyle w:val="BodyText"/>
        <w:rPr>
          <w:rFonts w:ascii="Open Sans" w:hAnsi="Open Sans" w:cs="Open Sans"/>
        </w:rPr>
      </w:pPr>
      <w:r w:rsidRPr="00D205F2">
        <w:rPr>
          <w:rFonts w:ascii="Open Sans" w:hAnsi="Open Sans" w:cs="Open Sans"/>
          <w:b/>
        </w:rPr>
        <w:t>References</w:t>
      </w:r>
      <w:r w:rsidRPr="00D205F2">
        <w:rPr>
          <w:rFonts w:ascii="Open Sans" w:hAnsi="Open Sans" w:cs="Open Sans"/>
        </w:rPr>
        <w:t xml:space="preserve">  </w:t>
      </w:r>
    </w:p>
    <w:p w:rsidR="004A244B" w:rsidRDefault="00855485" w:rsidP="00855485">
      <w:pPr>
        <w:pStyle w:val="Links"/>
        <w:pBdr>
          <w:bottom w:val="single" w:sz="6" w:space="1" w:color="auto"/>
        </w:pBdr>
        <w:rPr>
          <w:rFonts w:ascii="Open Sans" w:hAnsi="Open Sans" w:cs="Open Sans"/>
          <w:color w:val="auto"/>
          <w:sz w:val="16"/>
          <w:szCs w:val="16"/>
        </w:rPr>
      </w:pPr>
      <w:r>
        <w:rPr>
          <w:rFonts w:ascii="Open Sans" w:hAnsi="Open Sans" w:cs="Open Sans"/>
          <w:color w:val="auto"/>
          <w:sz w:val="16"/>
          <w:szCs w:val="16"/>
        </w:rPr>
        <w:t xml:space="preserve">Tenn. Code Ann. §§ 55-4-101, </w:t>
      </w:r>
      <w:r w:rsidRPr="00855485">
        <w:rPr>
          <w:rFonts w:ascii="Open Sans" w:hAnsi="Open Sans" w:cs="Open Sans"/>
          <w:color w:val="auto"/>
          <w:sz w:val="16"/>
          <w:szCs w:val="16"/>
        </w:rPr>
        <w:t>55-1-103</w:t>
      </w:r>
      <w:r>
        <w:rPr>
          <w:rFonts w:ascii="Open Sans" w:hAnsi="Open Sans" w:cs="Open Sans"/>
          <w:color w:val="auto"/>
          <w:sz w:val="16"/>
          <w:szCs w:val="16"/>
        </w:rPr>
        <w:t>,</w:t>
      </w:r>
      <w:r w:rsidRPr="00855485">
        <w:rPr>
          <w:rFonts w:ascii="Open Sans" w:hAnsi="Open Sans" w:cs="Open Sans"/>
          <w:color w:val="auto"/>
          <w:sz w:val="16"/>
          <w:szCs w:val="16"/>
        </w:rPr>
        <w:t xml:space="preserve"> 55-</w:t>
      </w:r>
      <w:r>
        <w:rPr>
          <w:rFonts w:ascii="Open Sans" w:hAnsi="Open Sans" w:cs="Open Sans"/>
          <w:color w:val="auto"/>
          <w:sz w:val="16"/>
          <w:szCs w:val="16"/>
        </w:rPr>
        <w:t xml:space="preserve">4-, </w:t>
      </w:r>
      <w:r w:rsidRPr="00855485">
        <w:rPr>
          <w:rFonts w:ascii="Open Sans" w:hAnsi="Open Sans" w:cs="Open Sans"/>
          <w:color w:val="auto"/>
          <w:sz w:val="16"/>
          <w:szCs w:val="16"/>
        </w:rPr>
        <w:t>55-4-111(a)(1)</w:t>
      </w:r>
      <w:r>
        <w:rPr>
          <w:rFonts w:ascii="Open Sans" w:hAnsi="Open Sans" w:cs="Open Sans"/>
          <w:color w:val="auto"/>
          <w:sz w:val="16"/>
          <w:szCs w:val="16"/>
        </w:rPr>
        <w:t xml:space="preserve">, </w:t>
      </w:r>
      <w:r w:rsidRPr="00855485">
        <w:rPr>
          <w:rFonts w:ascii="Open Sans" w:hAnsi="Open Sans" w:cs="Open Sans"/>
          <w:color w:val="auto"/>
          <w:sz w:val="16"/>
          <w:szCs w:val="16"/>
        </w:rPr>
        <w:t>55-4-111(f)</w:t>
      </w:r>
      <w:r>
        <w:rPr>
          <w:rFonts w:ascii="Open Sans" w:hAnsi="Open Sans" w:cs="Open Sans"/>
          <w:color w:val="auto"/>
          <w:sz w:val="16"/>
          <w:szCs w:val="16"/>
        </w:rPr>
        <w:t xml:space="preserve">, 55-4-111(a)(1), </w:t>
      </w:r>
      <w:r w:rsidRPr="00855485">
        <w:rPr>
          <w:rFonts w:ascii="Open Sans" w:hAnsi="Open Sans" w:cs="Open Sans"/>
          <w:color w:val="auto"/>
          <w:sz w:val="16"/>
          <w:szCs w:val="16"/>
        </w:rPr>
        <w:t xml:space="preserve">67-6-202 </w:t>
      </w:r>
      <w:r>
        <w:rPr>
          <w:rFonts w:ascii="Open Sans" w:hAnsi="Open Sans" w:cs="Open Sans"/>
          <w:color w:val="auto"/>
          <w:sz w:val="16"/>
          <w:szCs w:val="16"/>
        </w:rPr>
        <w:t>,</w:t>
      </w:r>
      <w:r w:rsidRPr="00855485">
        <w:rPr>
          <w:rFonts w:ascii="Open Sans" w:hAnsi="Open Sans" w:cs="Open Sans"/>
          <w:color w:val="auto"/>
          <w:sz w:val="16"/>
          <w:szCs w:val="16"/>
        </w:rPr>
        <w:t xml:space="preserve"> 67-6-102 </w:t>
      </w:r>
      <w:r>
        <w:rPr>
          <w:rFonts w:ascii="Open Sans" w:hAnsi="Open Sans" w:cs="Open Sans"/>
          <w:color w:val="auto"/>
          <w:sz w:val="16"/>
          <w:szCs w:val="16"/>
        </w:rPr>
        <w:t xml:space="preserve">, </w:t>
      </w:r>
      <w:r w:rsidRPr="00855485">
        <w:rPr>
          <w:rFonts w:ascii="Open Sans" w:hAnsi="Open Sans" w:cs="Open Sans"/>
          <w:color w:val="auto"/>
          <w:sz w:val="16"/>
          <w:szCs w:val="16"/>
        </w:rPr>
        <w:t>67-6-216</w:t>
      </w:r>
      <w:r>
        <w:rPr>
          <w:rFonts w:ascii="Open Sans" w:hAnsi="Open Sans" w:cs="Open Sans"/>
          <w:color w:val="auto"/>
          <w:sz w:val="16"/>
          <w:szCs w:val="16"/>
        </w:rPr>
        <w:t xml:space="preserve">, 68-126-202(2). </w:t>
      </w:r>
    </w:p>
    <w:sectPr w:rsidR="004A244B" w:rsidSect="00855485">
      <w:type w:val="continuous"/>
      <w:pgSz w:w="12240" w:h="15840"/>
      <w:pgMar w:top="864" w:right="864" w:bottom="864" w:left="86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A2A" w:rsidRDefault="00751A2A">
      <w:r>
        <w:separator/>
      </w:r>
    </w:p>
  </w:endnote>
  <w:endnote w:type="continuationSeparator" w:id="0">
    <w:p w:rsidR="00751A2A" w:rsidRDefault="0075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ermianSlabSerifTypeface">
    <w:panose1 w:val="02000000000000000000"/>
    <w:charset w:val="00"/>
    <w:family w:val="modern"/>
    <w:notTrueType/>
    <w:pitch w:val="variable"/>
    <w:sig w:usb0="A000022F" w:usb1="4000A46A" w:usb2="00000000" w:usb3="00000000" w:csb0="00000007"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CD3" w:rsidRPr="005D5CD3" w:rsidRDefault="005330CA" w:rsidP="00466823">
    <w:pPr>
      <w:pStyle w:val="Footer"/>
      <w:pBdr>
        <w:top w:val="single" w:sz="4" w:space="1" w:color="auto"/>
      </w:pBdr>
      <w:rPr>
        <w:rFonts w:ascii="Open Sans" w:hAnsi="Open Sans" w:cs="Open Sans"/>
        <w:sz w:val="16"/>
        <w:szCs w:val="16"/>
      </w:rPr>
    </w:pPr>
    <w:r w:rsidRPr="005D5CD3">
      <w:rPr>
        <w:rFonts w:ascii="Open Sans" w:hAnsi="Open Sans" w:cs="Open Sans"/>
        <w:b/>
        <w:sz w:val="16"/>
        <w:szCs w:val="16"/>
      </w:rPr>
      <w:t>Disclaimer:</w:t>
    </w:r>
    <w:r w:rsidRPr="005D5CD3">
      <w:rPr>
        <w:rFonts w:ascii="Open Sans" w:hAnsi="Open Sans" w:cs="Open Sans"/>
        <w:sz w:val="16"/>
        <w:szCs w:val="16"/>
      </w:rPr>
      <w:t xml:space="preserve">  The information provided here is current as of the date of publication bu</w:t>
    </w:r>
    <w:r w:rsidR="00466823">
      <w:rPr>
        <w:rFonts w:ascii="Open Sans" w:hAnsi="Open Sans" w:cs="Open Sans"/>
        <w:sz w:val="16"/>
        <w:szCs w:val="16"/>
      </w:rPr>
      <w:t>t</w:t>
    </w:r>
    <w:r w:rsidRPr="005D5CD3">
      <w:rPr>
        <w:rFonts w:ascii="Open Sans" w:hAnsi="Open Sans" w:cs="Open Sans"/>
        <w:sz w:val="16"/>
        <w:szCs w:val="16"/>
      </w:rPr>
      <w:t xml:space="preserve"> may change as a result of new statutes, regulations, or court decisions.  While this notice is intended to be comprehensive, events and situations unanticipated by this notice may occur.  In such cases you should contact the department o</w:t>
    </w:r>
    <w:r w:rsidR="006E0AAC">
      <w:rPr>
        <w:rFonts w:ascii="Open Sans" w:hAnsi="Open Sans" w:cs="Open Sans"/>
        <w:sz w:val="16"/>
        <w:szCs w:val="16"/>
      </w:rPr>
      <w:t>r</w:t>
    </w:r>
    <w:r w:rsidRPr="005D5CD3">
      <w:rPr>
        <w:rFonts w:ascii="Open Sans" w:hAnsi="Open Sans" w:cs="Open Sans"/>
        <w:sz w:val="16"/>
        <w:szCs w:val="16"/>
      </w:rPr>
      <w:t xml:space="preserve"> your tax professional for further guidance.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A2A" w:rsidRDefault="00751A2A">
      <w:r>
        <w:separator/>
      </w:r>
    </w:p>
  </w:footnote>
  <w:footnote w:type="continuationSeparator" w:id="0">
    <w:p w:rsidR="00751A2A" w:rsidRDefault="0075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E254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580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D883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4266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52A2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66F4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F013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54F2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B6AA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9681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713740"/>
    <w:multiLevelType w:val="multilevel"/>
    <w:tmpl w:val="344822C0"/>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F50B6"/>
    <w:multiLevelType w:val="hybridMultilevel"/>
    <w:tmpl w:val="5DFAA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782409"/>
    <w:multiLevelType w:val="multilevel"/>
    <w:tmpl w:val="9D9A8F4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ascii="Open Sans" w:eastAsiaTheme="minorHAnsi" w:hAnsi="Open Sans" w:cs="Open Sans"/>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6814FDD"/>
    <w:multiLevelType w:val="hybridMultilevel"/>
    <w:tmpl w:val="88F47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1509D"/>
    <w:multiLevelType w:val="hybridMultilevel"/>
    <w:tmpl w:val="C7AA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46C0D"/>
    <w:multiLevelType w:val="hybridMultilevel"/>
    <w:tmpl w:val="26C0E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AB4CC3"/>
    <w:multiLevelType w:val="hybridMultilevel"/>
    <w:tmpl w:val="475A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3"/>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FDB"/>
    <w:rsid w:val="000034C8"/>
    <w:rsid w:val="000051EB"/>
    <w:rsid w:val="000120E3"/>
    <w:rsid w:val="00030F36"/>
    <w:rsid w:val="00037900"/>
    <w:rsid w:val="00054D9C"/>
    <w:rsid w:val="00064ABB"/>
    <w:rsid w:val="00077B7D"/>
    <w:rsid w:val="00081CF9"/>
    <w:rsid w:val="0008500C"/>
    <w:rsid w:val="000A0174"/>
    <w:rsid w:val="000A615C"/>
    <w:rsid w:val="000B279D"/>
    <w:rsid w:val="000D2920"/>
    <w:rsid w:val="000D333F"/>
    <w:rsid w:val="000D71B7"/>
    <w:rsid w:val="000D7865"/>
    <w:rsid w:val="000E0ECA"/>
    <w:rsid w:val="000F759E"/>
    <w:rsid w:val="00101600"/>
    <w:rsid w:val="0010413C"/>
    <w:rsid w:val="001077FE"/>
    <w:rsid w:val="00135696"/>
    <w:rsid w:val="00152026"/>
    <w:rsid w:val="00154AE8"/>
    <w:rsid w:val="00155567"/>
    <w:rsid w:val="001623AA"/>
    <w:rsid w:val="00166952"/>
    <w:rsid w:val="0018091B"/>
    <w:rsid w:val="00181360"/>
    <w:rsid w:val="00185854"/>
    <w:rsid w:val="001916C4"/>
    <w:rsid w:val="001A0764"/>
    <w:rsid w:val="001A4336"/>
    <w:rsid w:val="001A73A5"/>
    <w:rsid w:val="001C4D6B"/>
    <w:rsid w:val="001C513D"/>
    <w:rsid w:val="001F3DA2"/>
    <w:rsid w:val="00205897"/>
    <w:rsid w:val="00207A3F"/>
    <w:rsid w:val="002261A3"/>
    <w:rsid w:val="00241FF5"/>
    <w:rsid w:val="00246265"/>
    <w:rsid w:val="00256107"/>
    <w:rsid w:val="00257EA8"/>
    <w:rsid w:val="00271425"/>
    <w:rsid w:val="00276231"/>
    <w:rsid w:val="00284114"/>
    <w:rsid w:val="002913A0"/>
    <w:rsid w:val="002A1EC9"/>
    <w:rsid w:val="002C37CD"/>
    <w:rsid w:val="002C41FA"/>
    <w:rsid w:val="002D08DA"/>
    <w:rsid w:val="002D3E30"/>
    <w:rsid w:val="002E724C"/>
    <w:rsid w:val="003012A9"/>
    <w:rsid w:val="00311C43"/>
    <w:rsid w:val="0031248C"/>
    <w:rsid w:val="003143B6"/>
    <w:rsid w:val="00320A36"/>
    <w:rsid w:val="00323944"/>
    <w:rsid w:val="0033010D"/>
    <w:rsid w:val="00345B00"/>
    <w:rsid w:val="00355832"/>
    <w:rsid w:val="00367DEB"/>
    <w:rsid w:val="003C22EC"/>
    <w:rsid w:val="003C2D2C"/>
    <w:rsid w:val="003D26EA"/>
    <w:rsid w:val="004058E6"/>
    <w:rsid w:val="00435C8C"/>
    <w:rsid w:val="00445DFF"/>
    <w:rsid w:val="00461DD5"/>
    <w:rsid w:val="00466823"/>
    <w:rsid w:val="00467D0D"/>
    <w:rsid w:val="00476A3C"/>
    <w:rsid w:val="0048658E"/>
    <w:rsid w:val="00487680"/>
    <w:rsid w:val="004A244B"/>
    <w:rsid w:val="004A24B3"/>
    <w:rsid w:val="004A364D"/>
    <w:rsid w:val="004B0FFC"/>
    <w:rsid w:val="004D1C31"/>
    <w:rsid w:val="005010E1"/>
    <w:rsid w:val="0050638D"/>
    <w:rsid w:val="005330CA"/>
    <w:rsid w:val="0053525C"/>
    <w:rsid w:val="00553550"/>
    <w:rsid w:val="00557DF7"/>
    <w:rsid w:val="00583F92"/>
    <w:rsid w:val="005859DF"/>
    <w:rsid w:val="0059712D"/>
    <w:rsid w:val="005B07C4"/>
    <w:rsid w:val="005B38CD"/>
    <w:rsid w:val="005B7D74"/>
    <w:rsid w:val="005C6D32"/>
    <w:rsid w:val="005D33DA"/>
    <w:rsid w:val="005D5CD3"/>
    <w:rsid w:val="005E3950"/>
    <w:rsid w:val="005F19A9"/>
    <w:rsid w:val="005F267D"/>
    <w:rsid w:val="00607AB7"/>
    <w:rsid w:val="00613DEB"/>
    <w:rsid w:val="0062037E"/>
    <w:rsid w:val="00623968"/>
    <w:rsid w:val="0062584B"/>
    <w:rsid w:val="006301A9"/>
    <w:rsid w:val="00633AA2"/>
    <w:rsid w:val="00641B4A"/>
    <w:rsid w:val="0065629C"/>
    <w:rsid w:val="006740B0"/>
    <w:rsid w:val="006748DD"/>
    <w:rsid w:val="00674F02"/>
    <w:rsid w:val="006764F4"/>
    <w:rsid w:val="006A1D17"/>
    <w:rsid w:val="006B2964"/>
    <w:rsid w:val="006B5CAB"/>
    <w:rsid w:val="006C4186"/>
    <w:rsid w:val="006E0AAC"/>
    <w:rsid w:val="006E2B39"/>
    <w:rsid w:val="006E2F2C"/>
    <w:rsid w:val="006E40C0"/>
    <w:rsid w:val="007038DB"/>
    <w:rsid w:val="00705A9E"/>
    <w:rsid w:val="00706858"/>
    <w:rsid w:val="00751A2A"/>
    <w:rsid w:val="007526F6"/>
    <w:rsid w:val="00762380"/>
    <w:rsid w:val="007674AE"/>
    <w:rsid w:val="007677EE"/>
    <w:rsid w:val="007847E1"/>
    <w:rsid w:val="00785129"/>
    <w:rsid w:val="007854B9"/>
    <w:rsid w:val="007961C8"/>
    <w:rsid w:val="007B77C1"/>
    <w:rsid w:val="007C5B4F"/>
    <w:rsid w:val="007C6452"/>
    <w:rsid w:val="007D0A4D"/>
    <w:rsid w:val="007F6DD0"/>
    <w:rsid w:val="00803EA2"/>
    <w:rsid w:val="00813F8B"/>
    <w:rsid w:val="00820316"/>
    <w:rsid w:val="00820577"/>
    <w:rsid w:val="00855485"/>
    <w:rsid w:val="0086522C"/>
    <w:rsid w:val="00877E3C"/>
    <w:rsid w:val="00882EFF"/>
    <w:rsid w:val="008941BA"/>
    <w:rsid w:val="00895D4C"/>
    <w:rsid w:val="008966A3"/>
    <w:rsid w:val="008B0D74"/>
    <w:rsid w:val="008B30EE"/>
    <w:rsid w:val="008B5090"/>
    <w:rsid w:val="008C02E2"/>
    <w:rsid w:val="008D20BB"/>
    <w:rsid w:val="008D762F"/>
    <w:rsid w:val="008E3623"/>
    <w:rsid w:val="008E395A"/>
    <w:rsid w:val="00902ABA"/>
    <w:rsid w:val="009035B3"/>
    <w:rsid w:val="0093052A"/>
    <w:rsid w:val="00937B06"/>
    <w:rsid w:val="00973C81"/>
    <w:rsid w:val="00974264"/>
    <w:rsid w:val="00977E9B"/>
    <w:rsid w:val="0099029F"/>
    <w:rsid w:val="009B30F0"/>
    <w:rsid w:val="00A01022"/>
    <w:rsid w:val="00A0659B"/>
    <w:rsid w:val="00A14D7E"/>
    <w:rsid w:val="00A15B13"/>
    <w:rsid w:val="00A30AD6"/>
    <w:rsid w:val="00A31337"/>
    <w:rsid w:val="00A55198"/>
    <w:rsid w:val="00A96048"/>
    <w:rsid w:val="00A97ABD"/>
    <w:rsid w:val="00AD35D3"/>
    <w:rsid w:val="00AF03CB"/>
    <w:rsid w:val="00AF3FDB"/>
    <w:rsid w:val="00B1572A"/>
    <w:rsid w:val="00B21077"/>
    <w:rsid w:val="00B251F8"/>
    <w:rsid w:val="00B26F61"/>
    <w:rsid w:val="00B3116E"/>
    <w:rsid w:val="00B3583B"/>
    <w:rsid w:val="00B91AF5"/>
    <w:rsid w:val="00B95980"/>
    <w:rsid w:val="00BA2922"/>
    <w:rsid w:val="00BB0A32"/>
    <w:rsid w:val="00BB494C"/>
    <w:rsid w:val="00BD6D7E"/>
    <w:rsid w:val="00BE227B"/>
    <w:rsid w:val="00BE5BE3"/>
    <w:rsid w:val="00BF0C57"/>
    <w:rsid w:val="00BF40C4"/>
    <w:rsid w:val="00C05296"/>
    <w:rsid w:val="00C070B3"/>
    <w:rsid w:val="00C27A38"/>
    <w:rsid w:val="00C340F5"/>
    <w:rsid w:val="00C43D00"/>
    <w:rsid w:val="00C5787E"/>
    <w:rsid w:val="00C65005"/>
    <w:rsid w:val="00C66521"/>
    <w:rsid w:val="00C779D7"/>
    <w:rsid w:val="00C87AAB"/>
    <w:rsid w:val="00CA34BC"/>
    <w:rsid w:val="00CB18F8"/>
    <w:rsid w:val="00CB547E"/>
    <w:rsid w:val="00CB71C9"/>
    <w:rsid w:val="00CC35E1"/>
    <w:rsid w:val="00CD0123"/>
    <w:rsid w:val="00CE0C4C"/>
    <w:rsid w:val="00CE61C1"/>
    <w:rsid w:val="00CE6266"/>
    <w:rsid w:val="00D02F61"/>
    <w:rsid w:val="00D03826"/>
    <w:rsid w:val="00D15FDC"/>
    <w:rsid w:val="00D205F2"/>
    <w:rsid w:val="00D24410"/>
    <w:rsid w:val="00D557E3"/>
    <w:rsid w:val="00D608D8"/>
    <w:rsid w:val="00D7361C"/>
    <w:rsid w:val="00D75AF0"/>
    <w:rsid w:val="00D85CC5"/>
    <w:rsid w:val="00D952AE"/>
    <w:rsid w:val="00DA12A7"/>
    <w:rsid w:val="00DA3D17"/>
    <w:rsid w:val="00DA3DAB"/>
    <w:rsid w:val="00DF60A3"/>
    <w:rsid w:val="00E10A9A"/>
    <w:rsid w:val="00E128EF"/>
    <w:rsid w:val="00E27281"/>
    <w:rsid w:val="00E55AE9"/>
    <w:rsid w:val="00E63888"/>
    <w:rsid w:val="00E647C2"/>
    <w:rsid w:val="00E702B2"/>
    <w:rsid w:val="00E7703B"/>
    <w:rsid w:val="00E8006C"/>
    <w:rsid w:val="00E849EC"/>
    <w:rsid w:val="00EA0CD6"/>
    <w:rsid w:val="00EA2957"/>
    <w:rsid w:val="00EB76B8"/>
    <w:rsid w:val="00ED33BD"/>
    <w:rsid w:val="00ED3723"/>
    <w:rsid w:val="00ED7CE3"/>
    <w:rsid w:val="00EF7AB2"/>
    <w:rsid w:val="00F06107"/>
    <w:rsid w:val="00F4396F"/>
    <w:rsid w:val="00F54792"/>
    <w:rsid w:val="00F71A42"/>
    <w:rsid w:val="00F76761"/>
    <w:rsid w:val="00F81DFE"/>
    <w:rsid w:val="00F871E7"/>
    <w:rsid w:val="00FA47F3"/>
    <w:rsid w:val="00FF299F"/>
    <w:rsid w:val="00FF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qFormat/>
    <w:rsid w:val="007B77C1"/>
    <w:pPr>
      <w:pBdr>
        <w:top w:val="single" w:sz="18" w:space="6" w:color="003399"/>
      </w:pBdr>
      <w:spacing w:before="24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1"/>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basedOn w:val="DefaultParagraphFont"/>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basedOn w:val="DefaultParagraphFont"/>
    <w:semiHidden/>
    <w:rsid w:val="00E849EC"/>
    <w:rPr>
      <w:sz w:val="16"/>
      <w:szCs w:val="16"/>
    </w:rPr>
  </w:style>
  <w:style w:type="paragraph" w:styleId="CommentText">
    <w:name w:val="annotation text"/>
    <w:basedOn w:val="Normal"/>
    <w:semiHidden/>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basedOn w:val="DefaultParagraphFont"/>
    <w:rsid w:val="00467D0D"/>
    <w:rPr>
      <w:color w:val="800080"/>
      <w:u w:val="single"/>
    </w:rPr>
  </w:style>
  <w:style w:type="paragraph" w:customStyle="1" w:styleId="VolumeandIssue">
    <w:name w:val="Volume and Issue"/>
    <w:basedOn w:val="NewsletterDate"/>
    <w:rsid w:val="00467D0D"/>
    <w:pPr>
      <w:jc w:val="right"/>
    </w:pPr>
  </w:style>
  <w:style w:type="paragraph" w:styleId="Header">
    <w:name w:val="header"/>
    <w:basedOn w:val="Normal"/>
    <w:link w:val="HeaderChar"/>
    <w:rsid w:val="005D5CD3"/>
    <w:pPr>
      <w:tabs>
        <w:tab w:val="center" w:pos="4680"/>
        <w:tab w:val="right" w:pos="9360"/>
      </w:tabs>
    </w:pPr>
  </w:style>
  <w:style w:type="character" w:customStyle="1" w:styleId="HeaderChar">
    <w:name w:val="Header Char"/>
    <w:basedOn w:val="DefaultParagraphFont"/>
    <w:link w:val="Header"/>
    <w:rsid w:val="005D5CD3"/>
    <w:rPr>
      <w:sz w:val="24"/>
      <w:szCs w:val="24"/>
    </w:rPr>
  </w:style>
  <w:style w:type="paragraph" w:styleId="Footer">
    <w:name w:val="footer"/>
    <w:basedOn w:val="Normal"/>
    <w:link w:val="FooterChar"/>
    <w:uiPriority w:val="99"/>
    <w:rsid w:val="005D5CD3"/>
    <w:pPr>
      <w:tabs>
        <w:tab w:val="center" w:pos="4680"/>
        <w:tab w:val="right" w:pos="9360"/>
      </w:tabs>
    </w:pPr>
  </w:style>
  <w:style w:type="character" w:customStyle="1" w:styleId="FooterChar">
    <w:name w:val="Footer Char"/>
    <w:basedOn w:val="DefaultParagraphFont"/>
    <w:link w:val="Footer"/>
    <w:uiPriority w:val="99"/>
    <w:rsid w:val="005D5CD3"/>
    <w:rPr>
      <w:sz w:val="24"/>
      <w:szCs w:val="24"/>
    </w:rPr>
  </w:style>
  <w:style w:type="paragraph" w:styleId="Revision">
    <w:name w:val="Revision"/>
    <w:hidden/>
    <w:uiPriority w:val="99"/>
    <w:semiHidden/>
    <w:rsid w:val="000D2920"/>
    <w:rPr>
      <w:sz w:val="24"/>
      <w:szCs w:val="24"/>
    </w:rPr>
  </w:style>
  <w:style w:type="character" w:customStyle="1" w:styleId="apple-converted-space">
    <w:name w:val="apple-converted-space"/>
    <w:basedOn w:val="DefaultParagraphFont"/>
    <w:rsid w:val="00D85CC5"/>
  </w:style>
  <w:style w:type="paragraph" w:styleId="ListParagraph">
    <w:name w:val="List Paragraph"/>
    <w:basedOn w:val="Normal"/>
    <w:uiPriority w:val="34"/>
    <w:qFormat/>
    <w:rsid w:val="00D205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1099330558">
      <w:bodyDiv w:val="1"/>
      <w:marLeft w:val="0"/>
      <w:marRight w:val="0"/>
      <w:marTop w:val="0"/>
      <w:marBottom w:val="0"/>
      <w:divBdr>
        <w:top w:val="none" w:sz="0" w:space="0" w:color="auto"/>
        <w:left w:val="none" w:sz="0" w:space="0" w:color="auto"/>
        <w:bottom w:val="none" w:sz="0" w:space="0" w:color="auto"/>
        <w:right w:val="none" w:sz="0" w:space="0" w:color="auto"/>
      </w:divBdr>
      <w:divsChild>
        <w:div w:id="1433894659">
          <w:marLeft w:val="0"/>
          <w:marRight w:val="0"/>
          <w:marTop w:val="0"/>
          <w:marBottom w:val="0"/>
          <w:divBdr>
            <w:top w:val="none" w:sz="0" w:space="0" w:color="auto"/>
            <w:left w:val="none" w:sz="0" w:space="0" w:color="auto"/>
            <w:bottom w:val="none" w:sz="0" w:space="0" w:color="auto"/>
            <w:right w:val="none" w:sz="0" w:space="0" w:color="auto"/>
          </w:divBdr>
          <w:divsChild>
            <w:div w:id="1632250221">
              <w:marLeft w:val="0"/>
              <w:marRight w:val="0"/>
              <w:marTop w:val="0"/>
              <w:marBottom w:val="0"/>
              <w:divBdr>
                <w:top w:val="none" w:sz="0" w:space="0" w:color="auto"/>
                <w:left w:val="single" w:sz="24" w:space="0" w:color="999999"/>
                <w:bottom w:val="none" w:sz="0" w:space="0" w:color="auto"/>
                <w:right w:val="single" w:sz="24" w:space="0" w:color="999999"/>
              </w:divBdr>
              <w:divsChild>
                <w:div w:id="2100566691">
                  <w:marLeft w:val="0"/>
                  <w:marRight w:val="0"/>
                  <w:marTop w:val="0"/>
                  <w:marBottom w:val="0"/>
                  <w:divBdr>
                    <w:top w:val="none" w:sz="0" w:space="0" w:color="auto"/>
                    <w:left w:val="single" w:sz="36" w:space="3" w:color="FFFFFF"/>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2003-07-31T16:56:00Z</cp:lastPrinted>
  <dcterms:created xsi:type="dcterms:W3CDTF">2020-10-22T13:29:00Z</dcterms:created>
  <dcterms:modified xsi:type="dcterms:W3CDTF">2020-10-22T13:29:00Z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ies>
</file>